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BC" w:rsidRPr="00BB46AB" w:rsidRDefault="00B05DBC" w:rsidP="00B05DBC">
      <w:pPr>
        <w:spacing w:after="0"/>
        <w:rPr>
          <w:rFonts w:ascii="Bradley Hand ITC" w:hAnsi="Bradley Hand ITC"/>
          <w:b/>
          <w:i/>
          <w:sz w:val="72"/>
          <w:szCs w:val="72"/>
        </w:rPr>
      </w:pPr>
      <w:r w:rsidRPr="00BB46AB">
        <w:rPr>
          <w:rFonts w:ascii="Bradley Hand ITC" w:hAnsi="Bradley Hand ITC"/>
          <w:b/>
          <w:i/>
          <w:sz w:val="72"/>
          <w:szCs w:val="72"/>
        </w:rPr>
        <w:t>1985 -2015</w:t>
      </w:r>
      <w:r>
        <w:rPr>
          <w:rFonts w:ascii="Bradley Hand ITC" w:hAnsi="Bradley Hand ITC"/>
          <w:b/>
          <w:i/>
          <w:sz w:val="72"/>
          <w:szCs w:val="72"/>
        </w:rPr>
        <w:t>:</w:t>
      </w:r>
    </w:p>
    <w:p w:rsidR="00B05DBC" w:rsidRPr="00CB0DE8" w:rsidRDefault="00B05DBC" w:rsidP="00B05DBC">
      <w:pPr>
        <w:rPr>
          <w:rFonts w:ascii="Bradley Hand ITC" w:hAnsi="Bradley Hand ITC"/>
          <w:b/>
          <w:i/>
          <w:sz w:val="52"/>
          <w:szCs w:val="52"/>
        </w:rPr>
      </w:pPr>
      <w:r>
        <w:rPr>
          <w:rFonts w:ascii="Bradley Hand ITC" w:hAnsi="Bradley Hand ITC"/>
          <w:b/>
          <w:i/>
          <w:sz w:val="32"/>
          <w:szCs w:val="32"/>
        </w:rPr>
        <w:t>V z</w:t>
      </w:r>
      <w:r w:rsidRPr="00CB0DE8">
        <w:rPr>
          <w:rFonts w:ascii="Bradley Hand ITC" w:hAnsi="Bradley Hand ITC"/>
          <w:b/>
          <w:i/>
          <w:sz w:val="32"/>
          <w:szCs w:val="32"/>
        </w:rPr>
        <w:t>á</w:t>
      </w:r>
      <w:r w:rsidRPr="00CB0DE8">
        <w:rPr>
          <w:rFonts w:ascii="Times New Roman" w:hAnsi="Times New Roman"/>
          <w:b/>
          <w:i/>
          <w:sz w:val="32"/>
          <w:szCs w:val="32"/>
        </w:rPr>
        <w:t>ř</w:t>
      </w:r>
      <w:r w:rsidRPr="00CB0DE8">
        <w:rPr>
          <w:rFonts w:ascii="Bradley Hand ITC" w:hAnsi="Bradley Hand ITC" w:cs="Bradley Hand ITC"/>
          <w:b/>
          <w:i/>
          <w:sz w:val="32"/>
          <w:szCs w:val="32"/>
        </w:rPr>
        <w:t>í</w:t>
      </w:r>
      <w:r w:rsidRPr="00CB0DE8">
        <w:rPr>
          <w:rFonts w:ascii="Bradley Hand ITC" w:hAnsi="Bradley Hand ITC"/>
          <w:b/>
          <w:i/>
          <w:sz w:val="32"/>
          <w:szCs w:val="32"/>
        </w:rPr>
        <w:t xml:space="preserve"> 2015</w:t>
      </w:r>
      <w:r w:rsidRPr="00CB0DE8">
        <w:rPr>
          <w:rFonts w:ascii="Bradley Hand ITC" w:hAnsi="Bradley Hand ITC"/>
          <w:i/>
          <w:sz w:val="32"/>
          <w:szCs w:val="32"/>
        </w:rPr>
        <w:t xml:space="preserve"> </w:t>
      </w:r>
      <w:r w:rsidRPr="00B05DBC">
        <w:rPr>
          <w:rFonts w:ascii="Bradley Hand ITC" w:hAnsi="Bradley Hand ITC"/>
          <w:b/>
          <w:i/>
          <w:sz w:val="32"/>
          <w:szCs w:val="32"/>
        </w:rPr>
        <w:t>oslavíme</w:t>
      </w:r>
      <w:r w:rsidRPr="00CB0DE8">
        <w:rPr>
          <w:rFonts w:ascii="Bradley Hand ITC" w:hAnsi="Bradley Hand ITC"/>
          <w:b/>
          <w:i/>
          <w:sz w:val="32"/>
          <w:szCs w:val="32"/>
        </w:rPr>
        <w:t xml:space="preserve"> </w:t>
      </w:r>
      <w:r w:rsidRPr="00BB46AB">
        <w:rPr>
          <w:rFonts w:ascii="Bradley Hand ITC" w:hAnsi="Bradley Hand ITC"/>
          <w:b/>
          <w:i/>
          <w:sz w:val="48"/>
          <w:szCs w:val="48"/>
        </w:rPr>
        <w:t>30. let</w:t>
      </w:r>
      <w:r w:rsidRPr="00CB0DE8">
        <w:rPr>
          <w:rFonts w:ascii="Bradley Hand ITC" w:hAnsi="Bradley Hand ITC"/>
          <w:b/>
          <w:i/>
          <w:sz w:val="32"/>
          <w:szCs w:val="32"/>
        </w:rPr>
        <w:t xml:space="preserve"> od chvíle, kdy k nám hlavními vchody vešli první rodi</w:t>
      </w:r>
      <w:r w:rsidRPr="00CB0DE8">
        <w:rPr>
          <w:rFonts w:ascii="Times New Roman" w:hAnsi="Times New Roman"/>
          <w:b/>
          <w:i/>
          <w:sz w:val="32"/>
          <w:szCs w:val="32"/>
        </w:rPr>
        <w:t>č</w:t>
      </w:r>
      <w:r w:rsidRPr="00CB0DE8">
        <w:rPr>
          <w:rFonts w:ascii="Bradley Hand ITC" w:hAnsi="Bradley Hand ITC"/>
          <w:b/>
          <w:i/>
          <w:sz w:val="32"/>
          <w:szCs w:val="32"/>
        </w:rPr>
        <w:t>e a jejich d</w:t>
      </w:r>
      <w:r w:rsidRPr="00CB0DE8">
        <w:rPr>
          <w:rFonts w:ascii="Times New Roman" w:hAnsi="Times New Roman"/>
          <w:b/>
          <w:i/>
          <w:sz w:val="32"/>
          <w:szCs w:val="32"/>
        </w:rPr>
        <w:t>ě</w:t>
      </w:r>
      <w:r w:rsidRPr="00CB0DE8">
        <w:rPr>
          <w:rFonts w:ascii="Bradley Hand ITC" w:hAnsi="Bradley Hand ITC"/>
          <w:b/>
          <w:i/>
          <w:sz w:val="32"/>
          <w:szCs w:val="32"/>
        </w:rPr>
        <w:t xml:space="preserve">ti- tedy </w:t>
      </w:r>
      <w:r>
        <w:rPr>
          <w:rFonts w:ascii="Bradley Hand ITC" w:hAnsi="Bradley Hand ITC"/>
          <w:b/>
          <w:i/>
          <w:sz w:val="32"/>
          <w:szCs w:val="32"/>
        </w:rPr>
        <w:t>výro</w:t>
      </w:r>
      <w:r>
        <w:rPr>
          <w:rFonts w:ascii="Times New Roman" w:hAnsi="Times New Roman"/>
          <w:b/>
          <w:i/>
          <w:sz w:val="32"/>
          <w:szCs w:val="32"/>
        </w:rPr>
        <w:t xml:space="preserve">čí </w:t>
      </w:r>
      <w:r w:rsidRPr="00CB0DE8">
        <w:rPr>
          <w:rFonts w:ascii="Bradley Hand ITC" w:hAnsi="Bradley Hand ITC"/>
          <w:b/>
          <w:i/>
          <w:sz w:val="32"/>
          <w:szCs w:val="32"/>
        </w:rPr>
        <w:t>otev</w:t>
      </w:r>
      <w:r w:rsidRPr="00CB0DE8">
        <w:rPr>
          <w:rFonts w:ascii="Times New Roman" w:hAnsi="Times New Roman"/>
          <w:b/>
          <w:i/>
          <w:sz w:val="32"/>
          <w:szCs w:val="32"/>
        </w:rPr>
        <w:t>ř</w:t>
      </w:r>
      <w:r w:rsidRPr="00CB0DE8">
        <w:rPr>
          <w:rFonts w:ascii="Bradley Hand ITC" w:hAnsi="Bradley Hand ITC"/>
          <w:b/>
          <w:i/>
          <w:sz w:val="32"/>
          <w:szCs w:val="32"/>
        </w:rPr>
        <w:t>en</w:t>
      </w:r>
      <w:r w:rsidRPr="00CB0DE8">
        <w:rPr>
          <w:rFonts w:ascii="Bradley Hand ITC" w:hAnsi="Bradley Hand ITC" w:cs="Bradley Hand ITC"/>
          <w:b/>
          <w:i/>
          <w:sz w:val="32"/>
          <w:szCs w:val="32"/>
        </w:rPr>
        <w:t>í</w:t>
      </w:r>
      <w:r w:rsidRPr="00CB0DE8">
        <w:rPr>
          <w:rFonts w:ascii="Bradley Hand ITC" w:hAnsi="Bradley Hand ITC"/>
          <w:b/>
          <w:i/>
          <w:sz w:val="32"/>
          <w:szCs w:val="32"/>
        </w:rPr>
        <w:t xml:space="preserve"> mate</w:t>
      </w:r>
      <w:r w:rsidRPr="00CB0DE8">
        <w:rPr>
          <w:rFonts w:ascii="Times New Roman" w:hAnsi="Times New Roman"/>
          <w:b/>
          <w:i/>
          <w:sz w:val="32"/>
          <w:szCs w:val="32"/>
        </w:rPr>
        <w:t>ř</w:t>
      </w:r>
      <w:r w:rsidRPr="00CB0DE8">
        <w:rPr>
          <w:rFonts w:ascii="Bradley Hand ITC" w:hAnsi="Bradley Hand ITC"/>
          <w:b/>
          <w:i/>
          <w:sz w:val="32"/>
          <w:szCs w:val="32"/>
        </w:rPr>
        <w:t>sk</w:t>
      </w:r>
      <w:r w:rsidRPr="00CB0DE8">
        <w:rPr>
          <w:rFonts w:ascii="Bradley Hand ITC" w:hAnsi="Bradley Hand ITC" w:cs="Brush Script MT"/>
          <w:b/>
          <w:i/>
          <w:sz w:val="32"/>
          <w:szCs w:val="32"/>
        </w:rPr>
        <w:t>é</w:t>
      </w:r>
      <w:r w:rsidRPr="00CB0DE8">
        <w:rPr>
          <w:rFonts w:ascii="Bradley Hand ITC" w:hAnsi="Bradley Hand ITC"/>
          <w:b/>
          <w:i/>
          <w:sz w:val="32"/>
          <w:szCs w:val="32"/>
        </w:rPr>
        <w:t xml:space="preserve"> </w:t>
      </w:r>
      <w:r w:rsidRPr="00CB0DE8">
        <w:rPr>
          <w:rFonts w:ascii="Bradley Hand ITC" w:hAnsi="Bradley Hand ITC" w:cs="Brush Script MT"/>
          <w:b/>
          <w:i/>
          <w:sz w:val="32"/>
          <w:szCs w:val="32"/>
        </w:rPr>
        <w:t>š</w:t>
      </w:r>
      <w:r w:rsidRPr="00CB0DE8">
        <w:rPr>
          <w:rFonts w:ascii="Bradley Hand ITC" w:hAnsi="Bradley Hand ITC"/>
          <w:b/>
          <w:i/>
          <w:sz w:val="32"/>
          <w:szCs w:val="32"/>
        </w:rPr>
        <w:t>koly.</w:t>
      </w:r>
    </w:p>
    <w:p w:rsidR="00B05DBC" w:rsidRDefault="00B05DBC" w:rsidP="00B05DBC">
      <w:pPr>
        <w:spacing w:after="0"/>
        <w:ind w:firstLine="708"/>
        <w:jc w:val="both"/>
      </w:pPr>
      <w:r>
        <w:t xml:space="preserve">Mateřská škola byla založena jako podniková školka tehdejšího NHKG Vítkovické železárny. Byla investována tímto podnikem a postavena s přispěním jeho zaměstnanců v akci Z. Proto byly jeho prvními dětmi výhradně děti těchto zaměstnanců. Také pracovníci školní kuchyně a uklízečky byly financováni a zaměstnávání tímto státním podnikem. Pedagogové pod vedením ředitelky </w:t>
      </w:r>
      <w:proofErr w:type="spellStart"/>
      <w:r>
        <w:t>Vejpustkové</w:t>
      </w:r>
      <w:proofErr w:type="spellEnd"/>
      <w:r>
        <w:t xml:space="preserve"> byli státními zaměstnanci, přijímáni i financováni Školským úřadem v Břeclavi. V roce 1989-90 přešla celá MŠ, vedená ředitelkou Marešovou pod správu Školského úřadu, o financování se staral stát. Později, v roce 2002 se MŠ osamostatnila, a vedená ředitelkou Valovou získala statut právního subjektu zřizovaného městem Hustopeče, provoz MŠ zabezpečuje zřizovatel- tedy město Hustopeče. Mateřská škola zaměstnává 18 zaměstnanců, jejich mzdy zabezpečuje KÚ Jihomoravského kraje. Současnou ředitelkou je Bc. Blanka Nešporová.</w:t>
      </w:r>
    </w:p>
    <w:p w:rsidR="00B05DBC" w:rsidRDefault="00B05DBC" w:rsidP="00B05DBC">
      <w:pPr>
        <w:spacing w:after="0"/>
        <w:ind w:firstLine="708"/>
        <w:jc w:val="both"/>
      </w:pPr>
      <w:r>
        <w:t>Mateřská škola od prvopočátku bojovala s problémy jako je vlhkost v přízemních třídách a hospodářské budově, zatíkání střechou, netěsnící okna, dveře, nefunkční vzduchotechnika. Časem vypršela doba doporučení užívání objektu a ředitelky se snažily a vadami bojovat. Nicméně dědily tento problém jedna od druhé. První velká nutná rekonstrukce proběhla na škole v roce 2007, kdy byla zateplena fasáda, vyměněny okna, dveře, a opravena střecha. Investice ve výši 7 mil. korun velmi pomohla, náklady školy tak poklesly, A</w:t>
      </w:r>
      <w:r w:rsidR="00E42725">
        <w:t>le nutnost</w:t>
      </w:r>
      <w:r>
        <w:t xml:space="preserve"> ú</w:t>
      </w:r>
      <w:r w:rsidR="00E42725">
        <w:t>prav</w:t>
      </w:r>
      <w:r>
        <w:t xml:space="preserve"> v</w:t>
      </w:r>
      <w:r w:rsidR="00E42725">
        <w:t>evnitř budovy setrvávala</w:t>
      </w:r>
      <w:r>
        <w:t xml:space="preserve">. Přišel čas na řešení situace.  Prozatím má škola zcela zrekonstruovánu 1/3 budovy, </w:t>
      </w:r>
      <w:r w:rsidR="00E42725">
        <w:t xml:space="preserve">červené a žluté třídy, </w:t>
      </w:r>
      <w:r>
        <w:t>která proběhla v létě 2014. Pokračovat v rekonstrukci budeme v </w:t>
      </w:r>
      <w:r>
        <w:t>létě</w:t>
      </w:r>
      <w:r>
        <w:t xml:space="preserve"> 2016</w:t>
      </w:r>
      <w:r w:rsidR="00E42725">
        <w:t>, zelenou a modrou třídou</w:t>
      </w:r>
      <w:r>
        <w:t xml:space="preserve">. Hospodářskou budovu zrekonstruujeme nejpozději v roce 2018. Nadále však dětem pořizujeme estetické a bezpečné prostředí moderní pomůcky, hračky i vybavení. </w:t>
      </w:r>
    </w:p>
    <w:p w:rsidR="00B05DBC" w:rsidRDefault="00B05DBC" w:rsidP="00E42725">
      <w:pPr>
        <w:spacing w:after="0"/>
        <w:ind w:firstLine="708"/>
        <w:jc w:val="both"/>
      </w:pPr>
      <w:r>
        <w:t xml:space="preserve">Největší přínos však vidím ve změně metod vzdělávání, přístupem k rodičům a dětem, filosofii školy. Pomáhají nám i </w:t>
      </w:r>
      <w:r w:rsidR="00E42725">
        <w:t xml:space="preserve">moderní </w:t>
      </w:r>
      <w:r>
        <w:t>hračky, pomůcky a technologie. Nynější kolektiv zaměstnanců se stará o 112 dětí, pedagogové pracují s dětmi moderními způsoby práce, integrujeme 4 děti se speciálními vzdělávacími potřebami. Také dětem umožňujeme rozvoj ve všech pěti oblastech předškolního vzdělávání. Preferujeme ve třídách příjemné a přátelské prostředí.</w:t>
      </w:r>
    </w:p>
    <w:p w:rsidR="00E42725" w:rsidRDefault="00E42725" w:rsidP="00E42725">
      <w:pPr>
        <w:spacing w:after="0"/>
        <w:ind w:firstLine="708"/>
        <w:jc w:val="both"/>
      </w:pPr>
      <w:r>
        <w:t xml:space="preserve"> Na podzim roku 2015 budeme realizovat zabezpečení objektu MŠ kamerami a čipy.          </w:t>
      </w:r>
    </w:p>
    <w:p w:rsidR="00B05DBC" w:rsidRDefault="00B05DBC" w:rsidP="00B05DBC">
      <w:pPr>
        <w:spacing w:after="0"/>
        <w:jc w:val="both"/>
      </w:pPr>
      <w:proofErr w:type="gramStart"/>
      <w:r>
        <w:t>Ke</w:t>
      </w:r>
      <w:proofErr w:type="gramEnd"/>
      <w:r>
        <w:t xml:space="preserve"> 30. výročí otevření mateřské školy se nám podařilo získat skvělý dárek dětem. Jedná se o získání dotace na obnovu školní zahrady z projektu Operační program životního prostředí *. Zahrada, kterou právě buduje brněnská firma 8D, bude přírodní učebnou, o jaké již dlouho sníme. Dětem zahrada nabídne aktivity v oblasti poznávání přírody po celý rok. Jedná se o například o poznávání proměn v</w:t>
      </w:r>
      <w:r>
        <w:t> </w:t>
      </w:r>
      <w:r>
        <w:t>přírodě</w:t>
      </w:r>
      <w:r>
        <w:t xml:space="preserve"> (stromy a byliny od září do června)</w:t>
      </w:r>
      <w:r>
        <w:t>, starání se o zvířata, (</w:t>
      </w:r>
      <w:proofErr w:type="spellStart"/>
      <w:r>
        <w:t>ježkovník</w:t>
      </w:r>
      <w:proofErr w:type="spellEnd"/>
      <w:r>
        <w:t xml:space="preserve">, </w:t>
      </w:r>
      <w:proofErr w:type="spellStart"/>
      <w:r>
        <w:t>ještěrkovník</w:t>
      </w:r>
      <w:proofErr w:type="spellEnd"/>
      <w:r>
        <w:t xml:space="preserve">), </w:t>
      </w:r>
      <w:r>
        <w:t xml:space="preserve">hrátky se zemí, vodou, větrem, sluncem, hry a pokusy na herních sestavách, pohyb na prolézačkách, pěstování zeleniny a bylin na záhoncích a na bylinkové spirále, schovávání v tunelech a také výuku v krytém altánu. Termín dokončení je </w:t>
      </w:r>
      <w:proofErr w:type="gramStart"/>
      <w:r>
        <w:t>30.9.2015</w:t>
      </w:r>
      <w:proofErr w:type="gramEnd"/>
      <w:r>
        <w:t xml:space="preserve">. Těšíme se. </w:t>
      </w:r>
    </w:p>
    <w:p w:rsidR="00E42725" w:rsidRDefault="00E42725" w:rsidP="00B05DBC">
      <w:pPr>
        <w:spacing w:after="0"/>
        <w:jc w:val="both"/>
      </w:pPr>
      <w:r>
        <w:tab/>
        <w:t xml:space="preserve">Můžeme říct, že Mateřská škola za celých 30 let svého trvání  vzkvétá, zhodnocuje svůj majetek, vychovala a připravila </w:t>
      </w:r>
      <w:r>
        <w:t>úspěšně na první třídu</w:t>
      </w:r>
      <w:r>
        <w:t xml:space="preserve"> řadu dětí. Dále se snaží o zapojení do </w:t>
      </w:r>
      <w:r>
        <w:lastRenderedPageBreak/>
        <w:t>života města a je řádným partnerem dalších institucí ve městě. Přejeme jí i Vašim dětem spoustu dalších úspěšných let.</w:t>
      </w:r>
    </w:p>
    <w:p w:rsidR="00B05DBC" w:rsidRDefault="00B05DBC" w:rsidP="00B05DBC">
      <w:pPr>
        <w:spacing w:after="0"/>
        <w:jc w:val="both"/>
      </w:pPr>
    </w:p>
    <w:p w:rsidR="00B05DBC" w:rsidRDefault="00B05DBC" w:rsidP="00B05DBC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2725">
        <w:tab/>
      </w:r>
      <w:r w:rsidR="00E42725">
        <w:tab/>
      </w:r>
      <w:r>
        <w:t>Kolektiv MŠ</w:t>
      </w:r>
    </w:p>
    <w:p w:rsidR="00B05DBC" w:rsidRPr="00E42725" w:rsidRDefault="00B05DBC" w:rsidP="00B05DBC">
      <w:pPr>
        <w:pStyle w:val="Normlnweb"/>
        <w:rPr>
          <w:rFonts w:ascii="Franklin Gothic Book" w:hAnsi="Franklin Gothic Book"/>
        </w:rPr>
      </w:pPr>
      <w:r w:rsidRPr="00E42725">
        <w:rPr>
          <w:rFonts w:ascii="Franklin Gothic Book" w:hAnsi="Franklin Gothic Book"/>
        </w:rPr>
        <w:t>*Omlouvám se za první mylnou informaci, kterou jsem udala v</w:t>
      </w:r>
      <w:r w:rsidR="00E42725">
        <w:rPr>
          <w:rFonts w:ascii="Franklin Gothic Book" w:hAnsi="Franklin Gothic Book"/>
        </w:rPr>
        <w:t> reportáži.</w:t>
      </w:r>
      <w:r w:rsidRPr="00E42725">
        <w:rPr>
          <w:rFonts w:ascii="Franklin Gothic Book" w:hAnsi="Franklin Gothic Book"/>
        </w:rPr>
        <w:t xml:space="preserve"> Ne</w:t>
      </w:r>
      <w:r w:rsidR="00E42725">
        <w:rPr>
          <w:rFonts w:ascii="Franklin Gothic Book" w:hAnsi="Franklin Gothic Book"/>
        </w:rPr>
        <w:t>jedná se o Nadaci partnerství (tam naši</w:t>
      </w:r>
      <w:r w:rsidRPr="00E42725">
        <w:rPr>
          <w:rFonts w:ascii="Franklin Gothic Book" w:hAnsi="Franklin Gothic Book"/>
        </w:rPr>
        <w:t xml:space="preserve"> žádost neschválili</w:t>
      </w:r>
      <w:r w:rsidR="00E42725">
        <w:rPr>
          <w:rFonts w:ascii="Franklin Gothic Book" w:hAnsi="Franklin Gothic Book"/>
        </w:rPr>
        <w:t>)</w:t>
      </w:r>
      <w:r w:rsidRPr="00E42725">
        <w:rPr>
          <w:rFonts w:ascii="Franklin Gothic Book" w:hAnsi="Franklin Gothic Book"/>
        </w:rPr>
        <w:t xml:space="preserve">, ale o Operační program životní prostředí- výzva </w:t>
      </w:r>
      <w:r w:rsidRPr="00E42725">
        <w:rPr>
          <w:rFonts w:ascii="Franklin Gothic Book" w:hAnsi="Franklin Gothic Book"/>
        </w:rPr>
        <w:t xml:space="preserve">7.1 – Rozvoj infrastruktury pro realizaci environmentálních vzdělávacích programů, poskytování environmentálního poradenství a environmentálních informací </w:t>
      </w:r>
    </w:p>
    <w:p w:rsidR="00B05DBC" w:rsidRPr="00E42725" w:rsidRDefault="00B05DBC" w:rsidP="00B05DBC">
      <w:pPr>
        <w:pStyle w:val="Odstavecseseznamem"/>
        <w:spacing w:after="0"/>
        <w:jc w:val="both"/>
      </w:pPr>
    </w:p>
    <w:p w:rsidR="001D0E73" w:rsidRDefault="00B05DBC" w:rsidP="00B05DBC">
      <w:r w:rsidRPr="00E42725">
        <w:rPr>
          <w:color w:val="7030A0"/>
        </w:rPr>
        <w:tab/>
      </w:r>
      <w:bookmarkStart w:id="0" w:name="_GoBack"/>
      <w:r>
        <w:rPr>
          <w:noProof/>
          <w:lang w:eastAsia="cs-CZ"/>
        </w:rPr>
        <w:drawing>
          <wp:inline distT="0" distB="0" distL="0" distR="0">
            <wp:extent cx="6106383" cy="4202172"/>
            <wp:effectExtent l="133350" t="190500" r="142240" b="198755"/>
            <wp:docPr id="5129" name="Obrázek 5129" descr="E:\fotky- presentace\nová fasá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9" name="Picture 2" descr="E:\fotky- presentace\nová fasád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090">
                      <a:off x="0" y="0"/>
                      <a:ext cx="6138089" cy="42239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</wp:inline>
        </w:drawing>
      </w:r>
      <w:bookmarkEnd w:id="0"/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tab/>
      </w:r>
    </w:p>
    <w:sectPr w:rsidR="001D0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09D3"/>
    <w:multiLevelType w:val="hybridMultilevel"/>
    <w:tmpl w:val="529C9A8C"/>
    <w:lvl w:ilvl="0" w:tplc="0602F2A6">
      <w:start w:val="1985"/>
      <w:numFmt w:val="bullet"/>
      <w:lvlText w:val=""/>
      <w:lvlJc w:val="left"/>
      <w:pPr>
        <w:ind w:left="720" w:hanging="360"/>
      </w:pPr>
      <w:rPr>
        <w:rFonts w:ascii="Symbol" w:eastAsia="Franklin Gothic Book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BC"/>
    <w:rsid w:val="001D0E73"/>
    <w:rsid w:val="00AD0434"/>
    <w:rsid w:val="00B05DBC"/>
    <w:rsid w:val="00E4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5DBC"/>
    <w:rPr>
      <w:rFonts w:ascii="Franklin Gothic Book" w:eastAsia="Franklin Gothic Book" w:hAnsi="Franklin Gothic Book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5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DBC"/>
    <w:rPr>
      <w:rFonts w:ascii="Tahoma" w:eastAsia="Franklin Gothic Book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05DB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05D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5DBC"/>
    <w:rPr>
      <w:rFonts w:ascii="Franklin Gothic Book" w:eastAsia="Franklin Gothic Book" w:hAnsi="Franklin Gothic Book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5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DBC"/>
    <w:rPr>
      <w:rFonts w:ascii="Tahoma" w:eastAsia="Franklin Gothic Book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05DB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05D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0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2015-08-18T07:09:00Z</dcterms:created>
  <dcterms:modified xsi:type="dcterms:W3CDTF">2015-08-18T07:28:00Z</dcterms:modified>
</cp:coreProperties>
</file>